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BA10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Allgemeine Geschäftsbedingungen des VRR für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KombiTickets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(Stand: 01/2016)</w:t>
      </w:r>
    </w:p>
    <w:p w14:paraId="53ED8B3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t>G:\KombiTicket\Allgemeingültiges\Musterverträge\KombiTicket AGB Stand_2016-01.docx</w:t>
      </w:r>
    </w:p>
    <w:p w14:paraId="5B03B37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1. Geltungsbereich</w:t>
      </w:r>
    </w:p>
    <w:p w14:paraId="3808FCA7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Für die Geschäftsbeziehung mit dem Vertragspartner (nachstehend VP) gelten im Bereich der mit dem </w:t>
      </w:r>
      <w:proofErr w:type="spellStart"/>
      <w:r>
        <w:rPr>
          <w:rFonts w:ascii="Arial" w:hAnsi="Arial" w:cs="Arial"/>
          <w:sz w:val="13"/>
          <w:szCs w:val="13"/>
        </w:rPr>
        <w:t>KombiTicket</w:t>
      </w:r>
      <w:proofErr w:type="spellEnd"/>
      <w:r>
        <w:rPr>
          <w:rFonts w:ascii="Arial" w:hAnsi="Arial" w:cs="Arial"/>
          <w:sz w:val="13"/>
          <w:szCs w:val="13"/>
        </w:rPr>
        <w:t xml:space="preserve"> verbundenen Leistungen ausschließlich die</w:t>
      </w:r>
    </w:p>
    <w:p w14:paraId="4BD16863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nachfolgenden Bedingungen und die hierin genannten Beförderungsbedingungen des Verkehrsverbundes Rhein-Ruhr (nachstehend VRR) in der jeweils am Veranstaltungstag</w:t>
      </w:r>
    </w:p>
    <w:p w14:paraId="3B9E7003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geltenden Fassung. Abweichende Bedingungen des VP gelten nicht, es sei denn, sie sind ausdrücklich von Verkehrsunternehmen (VU) und VRR anerkannt.</w:t>
      </w:r>
    </w:p>
    <w:p w14:paraId="483BF8F5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Schweigen von Seiten des VU und des VRR, vertreten durch die VRR AöR, auf derartige abweichende Bedingungen gilt insbesondere nicht als Anerkennung oder</w:t>
      </w:r>
    </w:p>
    <w:p w14:paraId="3FCAAEF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Zustimmung, auch nicht bei zukünftigen Verträgen.</w:t>
      </w:r>
    </w:p>
    <w:p w14:paraId="5DA7ED8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2. Vertragsschluss und Ausübung von Rechten / Vertragsgegenstand</w:t>
      </w:r>
    </w:p>
    <w:p w14:paraId="0E50818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2.1 Beim Vertragsschluss werden die dem VRR angehörigen </w:t>
      </w:r>
      <w:proofErr w:type="spellStart"/>
      <w:proofErr w:type="gramStart"/>
      <w:r>
        <w:rPr>
          <w:rFonts w:ascii="Arial" w:hAnsi="Arial" w:cs="Arial"/>
          <w:sz w:val="13"/>
          <w:szCs w:val="13"/>
        </w:rPr>
        <w:t>VU’s</w:t>
      </w:r>
      <w:proofErr w:type="spellEnd"/>
      <w:proofErr w:type="gramEnd"/>
      <w:r>
        <w:rPr>
          <w:rFonts w:ascii="Arial" w:hAnsi="Arial" w:cs="Arial"/>
          <w:sz w:val="13"/>
          <w:szCs w:val="13"/>
        </w:rPr>
        <w:t xml:space="preserve"> durch die VRR AöR vertreten. Eine eigenständige Leistungserfüllungspflicht mit Ausnahme der</w:t>
      </w:r>
    </w:p>
    <w:p w14:paraId="4184F87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Übernahme der vertraglichen Clearingfunktion trifft die VRR AöR nicht. Die VRR AöR ist berechtigt, für die beteiligten VU sämtliche Rechte aus dem Vertrag eigenständig</w:t>
      </w:r>
    </w:p>
    <w:p w14:paraId="253C0B4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geltend zu machen.</w:t>
      </w:r>
    </w:p>
    <w:p w14:paraId="0B8A534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2.2 Für die jeweiligen vertragsgegenständlichen Veranstaltungen des VP gelten an dem jeweiligen Veranstaltungstag die vom VP ausgegebenen gültigen Eintrittskarten als</w:t>
      </w:r>
    </w:p>
    <w:p w14:paraId="54AA920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gültiger Fahrausweis für die Hin- und Rückfahrt zum Veranstaltungsort mit Verkehrsmitteln des VRR.</w:t>
      </w:r>
    </w:p>
    <w:p w14:paraId="2EB012D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2.3 Die unter 2.2 genannten Karten gelten als Fahrtberechtigung am jeweiligen Veranstaltungstag bis 3.00 des Folgetages.</w:t>
      </w:r>
    </w:p>
    <w:p w14:paraId="33CECFB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2.4 Ein Beförderungsvertrag kommt ausschließlich zwischen dem jeweiligen Besucher und dem von ihm in Anspruch genommenen VU zustande. Der VRR und die</w:t>
      </w:r>
    </w:p>
    <w:p w14:paraId="2002852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angeschlossenen VU schulden Verkehrsleistungen nur </w:t>
      </w:r>
      <w:proofErr w:type="gramStart"/>
      <w:r>
        <w:rPr>
          <w:rFonts w:ascii="Arial" w:hAnsi="Arial" w:cs="Arial"/>
          <w:sz w:val="13"/>
          <w:szCs w:val="13"/>
        </w:rPr>
        <w:t>nach den allgemeinen Beförderungsbedingungen</w:t>
      </w:r>
      <w:proofErr w:type="gramEnd"/>
      <w:r>
        <w:rPr>
          <w:rFonts w:ascii="Arial" w:hAnsi="Arial" w:cs="Arial"/>
          <w:sz w:val="13"/>
          <w:szCs w:val="13"/>
        </w:rPr>
        <w:t xml:space="preserve"> des VRR.</w:t>
      </w:r>
    </w:p>
    <w:p w14:paraId="1BBA15F0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2.5 Das jeweils vertragsgegenständliche Angebot an Verkehrsleistungen ergibt sich ausschließlich aus dem am Veranstaltungstag gültigen Verbundfahrplan des VRR.</w:t>
      </w:r>
    </w:p>
    <w:p w14:paraId="4CE84E96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 xml:space="preserve">3. Gestaltung und Kosten des </w:t>
      </w:r>
      <w:proofErr w:type="spellStart"/>
      <w:r>
        <w:rPr>
          <w:rFonts w:ascii="Arial" w:hAnsi="Arial" w:cs="Arial"/>
          <w:b/>
          <w:bCs/>
          <w:sz w:val="13"/>
          <w:szCs w:val="13"/>
        </w:rPr>
        <w:t>KombiTickets</w:t>
      </w:r>
      <w:proofErr w:type="spellEnd"/>
    </w:p>
    <w:p w14:paraId="071BA56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3.1 Ausprägungen von </w:t>
      </w:r>
      <w:proofErr w:type="spellStart"/>
      <w:r>
        <w:rPr>
          <w:rFonts w:ascii="Arial" w:hAnsi="Arial" w:cs="Arial"/>
          <w:sz w:val="13"/>
          <w:szCs w:val="13"/>
        </w:rPr>
        <w:t>KombiTickets</w:t>
      </w:r>
      <w:proofErr w:type="spellEnd"/>
    </w:p>
    <w:p w14:paraId="4AA49916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3.1.1 Papierticket</w:t>
      </w:r>
    </w:p>
    <w:p w14:paraId="2791BDD5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Der VP ist verpflichtet, auf den Eintrittskarten folgenden Aufdruck anzubringen, aus dem sich die Gültigkeit des Fahrausweises ergibt:</w:t>
      </w:r>
    </w:p>
    <w:p w14:paraId="1D2C49E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3"/>
          <w:szCs w:val="13"/>
        </w:rPr>
      </w:pPr>
      <w:r>
        <w:rPr>
          <w:rFonts w:ascii="Arial" w:hAnsi="Arial" w:cs="Arial"/>
          <w:i/>
          <w:iCs/>
          <w:sz w:val="13"/>
          <w:szCs w:val="13"/>
        </w:rPr>
        <w:t>Freie Hin- und Rückfahrt mit VRR-Verkehrsmitteln (2. Klasse) im VRR-Raum</w:t>
      </w:r>
    </w:p>
    <w:p w14:paraId="471B0AB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oder: </w:t>
      </w:r>
      <w:r>
        <w:rPr>
          <w:rFonts w:ascii="Arial" w:hAnsi="Arial" w:cs="Arial"/>
          <w:i/>
          <w:iCs/>
          <w:sz w:val="13"/>
          <w:szCs w:val="13"/>
        </w:rPr>
        <w:t>Freie Hin- und Rückfahrt mit VRR-Verkehrsmit</w:t>
      </w:r>
      <w:r>
        <w:rPr>
          <w:rFonts w:ascii="Arial,Italic" w:hAnsi="Arial,Italic" w:cs="Arial,Italic"/>
          <w:i/>
          <w:iCs/>
          <w:sz w:val="13"/>
          <w:szCs w:val="13"/>
        </w:rPr>
        <w:t>teln (2. Klasse) in der Preisstufe B, bezogen auf das Tarifgebiet …)</w:t>
      </w:r>
    </w:p>
    <w:p w14:paraId="7377D1D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oder: </w:t>
      </w:r>
      <w:r>
        <w:rPr>
          <w:rFonts w:ascii="Arial" w:hAnsi="Arial" w:cs="Arial"/>
          <w:i/>
          <w:iCs/>
          <w:sz w:val="13"/>
          <w:szCs w:val="13"/>
        </w:rPr>
        <w:t>Freie Hin- und Rückfahrt mit VRR-</w:t>
      </w:r>
      <w:r>
        <w:rPr>
          <w:rFonts w:ascii="Arial,Italic" w:hAnsi="Arial,Italic" w:cs="Arial,Italic"/>
          <w:i/>
          <w:iCs/>
          <w:sz w:val="13"/>
          <w:szCs w:val="13"/>
        </w:rPr>
        <w:t>Verkehrsmitteln (2. Klasse) in der Stadt / im Tarifgebiet …)</w:t>
      </w:r>
    </w:p>
    <w:p w14:paraId="56BB305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3"/>
          <w:szCs w:val="13"/>
        </w:rPr>
      </w:pPr>
      <w:proofErr w:type="spellStart"/>
      <w:r>
        <w:rPr>
          <w:rFonts w:ascii="Arial" w:hAnsi="Arial" w:cs="Arial"/>
          <w:i/>
          <w:iCs/>
          <w:sz w:val="13"/>
          <w:szCs w:val="13"/>
        </w:rPr>
        <w:t>KombiTickets</w:t>
      </w:r>
      <w:proofErr w:type="spellEnd"/>
      <w:r>
        <w:rPr>
          <w:rFonts w:ascii="Arial" w:hAnsi="Arial" w:cs="Arial"/>
          <w:i/>
          <w:iCs/>
          <w:sz w:val="13"/>
          <w:szCs w:val="13"/>
        </w:rPr>
        <w:t xml:space="preserve"> sind nicht übertragbar.</w:t>
      </w:r>
    </w:p>
    <w:p w14:paraId="663ACC87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Auch das </w:t>
      </w:r>
      <w:proofErr w:type="spellStart"/>
      <w:r>
        <w:rPr>
          <w:rFonts w:ascii="Arial" w:hAnsi="Arial" w:cs="Arial"/>
          <w:sz w:val="13"/>
          <w:szCs w:val="13"/>
        </w:rPr>
        <w:t>KombiTicket</w:t>
      </w:r>
      <w:proofErr w:type="spellEnd"/>
      <w:r>
        <w:rPr>
          <w:rFonts w:ascii="Arial" w:hAnsi="Arial" w:cs="Arial"/>
          <w:sz w:val="13"/>
          <w:szCs w:val="13"/>
        </w:rPr>
        <w:t xml:space="preserve">-Logo und das Logo des beteiligten </w:t>
      </w:r>
      <w:proofErr w:type="spellStart"/>
      <w:proofErr w:type="gramStart"/>
      <w:r>
        <w:rPr>
          <w:rFonts w:ascii="Arial" w:hAnsi="Arial" w:cs="Arial"/>
          <w:sz w:val="13"/>
          <w:szCs w:val="13"/>
        </w:rPr>
        <w:t>VU’s</w:t>
      </w:r>
      <w:proofErr w:type="spellEnd"/>
      <w:proofErr w:type="gramEnd"/>
      <w:r>
        <w:rPr>
          <w:rFonts w:ascii="Arial" w:hAnsi="Arial" w:cs="Arial"/>
          <w:sz w:val="13"/>
          <w:szCs w:val="13"/>
        </w:rPr>
        <w:t xml:space="preserve"> sind anzubringen. Sofern der Gültigkeitstag der Eintrittskarte deutlich ersichtlich ist, kann eine Entwertung</w:t>
      </w:r>
    </w:p>
    <w:p w14:paraId="78C53D1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des </w:t>
      </w:r>
      <w:proofErr w:type="spellStart"/>
      <w:r>
        <w:rPr>
          <w:rFonts w:ascii="Arial" w:hAnsi="Arial" w:cs="Arial"/>
          <w:sz w:val="13"/>
          <w:szCs w:val="13"/>
        </w:rPr>
        <w:t>KombiTickets</w:t>
      </w:r>
      <w:proofErr w:type="spellEnd"/>
      <w:r>
        <w:rPr>
          <w:rFonts w:ascii="Arial" w:hAnsi="Arial" w:cs="Arial"/>
          <w:sz w:val="13"/>
          <w:szCs w:val="13"/>
        </w:rPr>
        <w:t xml:space="preserve"> entfallen. Ansonsten ist ein besonderes Entwertungsfeld vorzusehen (min. 10 mm/max. 12 mm breit, 50 mm lang), Kartenbreite insg. min. 70 mm,</w:t>
      </w:r>
    </w:p>
    <w:p w14:paraId="41C5AAB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Papier min. 100 g/qm Buchungskarton/holzfrei/weiß. Abweichungen sind mit schriftlichem Einverständnis des VRR zulässig.</w:t>
      </w:r>
    </w:p>
    <w:p w14:paraId="5732349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3.1.2 </w:t>
      </w:r>
      <w:proofErr w:type="spellStart"/>
      <w:r>
        <w:rPr>
          <w:rFonts w:ascii="Arial" w:hAnsi="Arial" w:cs="Arial"/>
          <w:sz w:val="13"/>
          <w:szCs w:val="13"/>
        </w:rPr>
        <w:t>OnlineTicket</w:t>
      </w:r>
      <w:proofErr w:type="spellEnd"/>
    </w:p>
    <w:p w14:paraId="3C17B0F0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OnlineTickets - Tickets zum Selbstausdrucken - müssen folgende Voraussetzungen erfüllen:</w:t>
      </w:r>
    </w:p>
    <w:p w14:paraId="73EBB03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Das ÖPNV-Ticket enthält alle Sicherheitsmerkmale gemäß dem Dokument „Abbildung und Kontrolle des VRR-Tarifes“, insbesondere den VDV-Barcode mit elektronischer</w:t>
      </w:r>
    </w:p>
    <w:p w14:paraId="33D5182F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Signatur. Die Kosten für die Erzeugung des Barcodes trägt der VP. Das VU stellt den organisatorischen Rahmen zur Verfügung.</w:t>
      </w:r>
    </w:p>
    <w:p w14:paraId="110D9F0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3.1.3 </w:t>
      </w:r>
      <w:proofErr w:type="spellStart"/>
      <w:r>
        <w:rPr>
          <w:rFonts w:ascii="Arial" w:hAnsi="Arial" w:cs="Arial"/>
          <w:sz w:val="13"/>
          <w:szCs w:val="13"/>
        </w:rPr>
        <w:t>HandyTicket</w:t>
      </w:r>
      <w:proofErr w:type="spellEnd"/>
    </w:p>
    <w:p w14:paraId="529A0B0F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HandyTickets müssen folgende Voraussetzungen erfüllen:</w:t>
      </w:r>
    </w:p>
    <w:p w14:paraId="7AA7178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Das ÖPNV-Ticket enthält alle Sicherheitsmerkmale gemäß dem Dokument „Abbildung und Kontrolle des VRR-Tarifes“, insbesondere den VDV-Barcode mit elektronischer</w:t>
      </w:r>
    </w:p>
    <w:p w14:paraId="773EE1D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Signatur. Die Kosten für die Erzeugung des Barcodes trägt der VP. Das VU stellt den organisatorischen Rahmen zur Verfügung.</w:t>
      </w:r>
    </w:p>
    <w:p w14:paraId="426B1E1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3.2 Die Kosten für die Eintrittskarten und ihre Gestaltung trägt der VP.</w:t>
      </w:r>
    </w:p>
    <w:p w14:paraId="226D631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3.3 Der VP verpflichtet sich, der VRR AöR zur Unterrichtung des Fahr- und Prüfpersonals spätestens vier Wochen vor dem jeweiligen Veranstaltungstag einen kompletten</w:t>
      </w:r>
    </w:p>
    <w:p w14:paraId="597F5F4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Satz der Karten als Muster sowie einen Veranstaltungsplan unaufgefordert zukommen zu lassen.</w:t>
      </w:r>
    </w:p>
    <w:p w14:paraId="0677965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4. Entgelt/Fälligkeit</w:t>
      </w:r>
    </w:p>
    <w:p w14:paraId="34CF562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4.1. Der VP schuldet die vertragsgegenständliche Vergütung.</w:t>
      </w:r>
    </w:p>
    <w:p w14:paraId="1128179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4.2. Die Vergütung ist einschließlich der Abrechnungsunterlagen fällig und zahlbar binnen 14 Tagen nach dem jeweiligen Veranstaltungstag, sofern keine abweichende</w:t>
      </w:r>
    </w:p>
    <w:p w14:paraId="4A1EC3E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Festlegung getroffen wurde. Sie ist spesen- und auflagefrei auf das von der VRR AöR / dem VU benannte Konto zu überweisen.</w:t>
      </w:r>
    </w:p>
    <w:p w14:paraId="194DE436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4.3. Im Falle des Verzuges schuldet der VP Verzugszinsen in Höhe von 8 % über dem jeweiligen Basiszinssatz der Europäischen Zentralbank, Als Tag der Zahlung gilt das</w:t>
      </w:r>
    </w:p>
    <w:p w14:paraId="5C38B20C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Datum des Geldeingangs. Die Geltendmachung eines </w:t>
      </w:r>
      <w:proofErr w:type="gramStart"/>
      <w:r>
        <w:rPr>
          <w:rFonts w:ascii="Arial" w:hAnsi="Arial" w:cs="Arial"/>
          <w:sz w:val="13"/>
          <w:szCs w:val="13"/>
        </w:rPr>
        <w:t>darüber hinausgehenden</w:t>
      </w:r>
      <w:proofErr w:type="gramEnd"/>
      <w:r>
        <w:rPr>
          <w:rFonts w:ascii="Arial" w:hAnsi="Arial" w:cs="Arial"/>
          <w:sz w:val="13"/>
          <w:szCs w:val="13"/>
        </w:rPr>
        <w:t xml:space="preserve"> Schadens bleibt vorbehalten. Der VP gerät auch ohne Mahnung in Verzug bei</w:t>
      </w:r>
    </w:p>
    <w:p w14:paraId="06136CA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Nichtzahlung der Vergütung binnen 15 Tagen nach dem jeweiligen Veranstaltungstag.</w:t>
      </w:r>
    </w:p>
    <w:p w14:paraId="323CD50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4.4. Werden Zahlungsbedingungen nicht eingehalten oder Umstände bekannt, die </w:t>
      </w:r>
      <w:proofErr w:type="gramStart"/>
      <w:r>
        <w:rPr>
          <w:rFonts w:ascii="Arial" w:hAnsi="Arial" w:cs="Arial"/>
          <w:sz w:val="13"/>
          <w:szCs w:val="13"/>
        </w:rPr>
        <w:t>nach pflichtgemäßen, kaufmännischen Ermessen</w:t>
      </w:r>
      <w:proofErr w:type="gramEnd"/>
      <w:r>
        <w:rPr>
          <w:rFonts w:ascii="Arial" w:hAnsi="Arial" w:cs="Arial"/>
          <w:sz w:val="13"/>
          <w:szCs w:val="13"/>
        </w:rPr>
        <w:t xml:space="preserve"> begründete Zweifel an der</w:t>
      </w:r>
    </w:p>
    <w:p w14:paraId="62C65A5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Kreditwürdigkeit des VP entstehen lassen, und zwar auch solche Tatsachen, die schon bei Vertragsschluss vorlagen, jedoch nicht bekannt waren oder bekannt sein</w:t>
      </w:r>
    </w:p>
    <w:p w14:paraId="6E85B1A5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proofErr w:type="spellStart"/>
      <w:r>
        <w:rPr>
          <w:rFonts w:ascii="Arial" w:hAnsi="Arial" w:cs="Arial"/>
          <w:sz w:val="13"/>
          <w:szCs w:val="13"/>
        </w:rPr>
        <w:t>mußten</w:t>
      </w:r>
      <w:proofErr w:type="spellEnd"/>
      <w:r>
        <w:rPr>
          <w:rFonts w:ascii="Arial" w:hAnsi="Arial" w:cs="Arial"/>
          <w:sz w:val="13"/>
          <w:szCs w:val="13"/>
        </w:rPr>
        <w:t>, so sind die VU - auch vertreten durch die VRR AöR - unbeschadet weitergehender gesetzlicher Rechte in diesen Fällen berechtigt, Leistungen auszusetzen und</w:t>
      </w:r>
    </w:p>
    <w:p w14:paraId="19FCFD8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die Stellung genehmer Sicherheiten zu verlangen und nach erfolglosem Verstreichen eine angemessene Nachfrist für die Leistung von solchen Sicherheiten vom Vertrag</w:t>
      </w:r>
    </w:p>
    <w:p w14:paraId="1997F8BF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zurück zu treten. Der VP schuldet in diesem Fall den durch die Nichterfüllung des Vertrages entstandenen Schaden.</w:t>
      </w:r>
    </w:p>
    <w:p w14:paraId="762E67C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5. Prüfungsrecht</w:t>
      </w:r>
    </w:p>
    <w:p w14:paraId="6D50974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5.1 Zur Verifizierung der Abrechnung des VP verpflichtet sich der VP der VRR AöR Einsicht in die Abrechnungsunterlagen durch eine zur Berufsverschwiegenheit</w:t>
      </w:r>
    </w:p>
    <w:p w14:paraId="47C7A7F3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verpflichtete Person (Rechtsanwalt, Steuerberater, Wirtschaftsprüfer) auf erste Anforderung zu gewähren.</w:t>
      </w:r>
    </w:p>
    <w:p w14:paraId="5183018C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5.2 Ergibt die Prüfung eine fehlerhafte Abrechnung des VP, so trägt der VP die Kosten der Prüfung. Andernfalls tragen die dem VRR angeschlossenen VU die Kosten der</w:t>
      </w:r>
    </w:p>
    <w:p w14:paraId="29DF43C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Prüfung.</w:t>
      </w:r>
    </w:p>
    <w:p w14:paraId="75373287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6. Zurückbehaltungs- und Aufrechnungsrecht</w:t>
      </w:r>
    </w:p>
    <w:p w14:paraId="619A691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Ein Zurückbehaltungs- oder Aufrechnungsrecht des VP besteht nur hinsichtlich solcher Gegenansprüche, die nicht bestritten oder rechtskräftig festgestellt sind.</w:t>
      </w:r>
    </w:p>
    <w:p w14:paraId="7BBD8D1C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7. Höhere Gewalt und sonstige Behinderungen</w:t>
      </w:r>
    </w:p>
    <w:p w14:paraId="31DB668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Sind die dem VRR angeschlossenen VU aus Gründen, die weder der VRR noch die angeschlossenen VU zu vertreten haben, zur Leistung nicht, nicht richtig oder nicht</w:t>
      </w:r>
    </w:p>
    <w:p w14:paraId="48F83C1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rechtzeitig in der Lage, oder treten Ereignisse höherer Gewalt ein, insbesondere Staus, Strom- oder Umspannungsschäden etc., so sind die beteiligten VU berechtigt, die</w:t>
      </w:r>
    </w:p>
    <w:p w14:paraId="7626981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 xml:space="preserve">Erfüllung der </w:t>
      </w:r>
      <w:proofErr w:type="gramStart"/>
      <w:r>
        <w:rPr>
          <w:rFonts w:ascii="Arial" w:hAnsi="Arial" w:cs="Arial"/>
          <w:sz w:val="13"/>
          <w:szCs w:val="13"/>
        </w:rPr>
        <w:t>Transportverpflichtung</w:t>
      </w:r>
      <w:proofErr w:type="gramEnd"/>
      <w:r>
        <w:rPr>
          <w:rFonts w:ascii="Arial" w:hAnsi="Arial" w:cs="Arial"/>
          <w:sz w:val="13"/>
          <w:szCs w:val="13"/>
        </w:rPr>
        <w:t xml:space="preserve"> um die Dauer der Behinderung herauszuschieben. In diesem Falle </w:t>
      </w:r>
      <w:proofErr w:type="gramStart"/>
      <w:r>
        <w:rPr>
          <w:rFonts w:ascii="Arial" w:hAnsi="Arial" w:cs="Arial"/>
          <w:sz w:val="13"/>
          <w:szCs w:val="13"/>
        </w:rPr>
        <w:t>sind</w:t>
      </w:r>
      <w:proofErr w:type="gramEnd"/>
      <w:r>
        <w:rPr>
          <w:rFonts w:ascii="Arial" w:hAnsi="Arial" w:cs="Arial"/>
          <w:sz w:val="13"/>
          <w:szCs w:val="13"/>
        </w:rPr>
        <w:t xml:space="preserve"> die VU auch berechtigt, wegen des noch nicht erfüllten Teiles</w:t>
      </w:r>
    </w:p>
    <w:p w14:paraId="41A5CB1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vom Vertrag ganz oder teilweise zurückzutreten. Der höheren Gewalt stehen gleich: Streik, Aussperrung, behördliche Eingriffe, Energie- und Rohstoffknappheit sowie</w:t>
      </w:r>
    </w:p>
    <w:p w14:paraId="106C899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sonstige unverschuldete Betriebsbehinderungen, z.B. durch Feuer, Wasser, Maschinenschäden, mangelnde Platzkapazität und alle sonstigen Behinderungen, die bei</w:t>
      </w:r>
    </w:p>
    <w:p w14:paraId="2EE66E9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objektiver Betrachtungsweise nicht durch die VU schuldhaft herbeigeführt worden sind.</w:t>
      </w:r>
    </w:p>
    <w:p w14:paraId="592CAA4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8. Ausschluss und Begrenzung der Haftung</w:t>
      </w:r>
    </w:p>
    <w:p w14:paraId="218D84C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lastRenderedPageBreak/>
        <w:t xml:space="preserve">8.1 Die VU und die VRR AöR haften – soweit nicht </w:t>
      </w:r>
      <w:proofErr w:type="gramStart"/>
      <w:r>
        <w:rPr>
          <w:rFonts w:ascii="Arial" w:hAnsi="Arial" w:cs="Arial"/>
          <w:sz w:val="13"/>
          <w:szCs w:val="13"/>
        </w:rPr>
        <w:t>nach den einbezogenen Beförderungsbedingungen</w:t>
      </w:r>
      <w:proofErr w:type="gramEnd"/>
      <w:r>
        <w:rPr>
          <w:rFonts w:ascii="Arial" w:hAnsi="Arial" w:cs="Arial"/>
          <w:sz w:val="13"/>
          <w:szCs w:val="13"/>
        </w:rPr>
        <w:t xml:space="preserve"> (Ziff. 1) ein weitergehender Haftungsausschluss Platz greift – für</w:t>
      </w:r>
    </w:p>
    <w:p w14:paraId="4D2C242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eigene vorsätzliche oder grob fahrlässige Pflichtverletzung und vorsätzliche oder grob fahrlässige Pflichtverletzung von gesetzlichen Vertretern oder Erfüllungsgehilfen</w:t>
      </w:r>
    </w:p>
    <w:p w14:paraId="3173E627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sowie für die Verletzung von wesentlichen Vertragspflichten und im Falle zu vertretender Unmöglichkeit und erheblicher Pflichtverletzung uneingeschränkt.</w:t>
      </w:r>
    </w:p>
    <w:p w14:paraId="465134E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8.2 Haften VU oder die VRR AöR nicht nach vorstehender Ziff. 8.1, so haften sie für alle gegen sie gerichteten Ansprüche auf Schadensersatz aus dem vorliegenden</w:t>
      </w:r>
    </w:p>
    <w:p w14:paraId="3467F18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Vertragsverhältnis wegen schuldhafter Pflichtverletzung, gleich aus welchem Rechtsgrund nicht im Falle leichter Fahrlässigkeit.</w:t>
      </w:r>
    </w:p>
    <w:p w14:paraId="12AA10A1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8.3 Im Falle der vorstehenden Haftung nach Ziff. 8.2 und nach einer Haftung ohne Verschulden, insbesondere bei anfänglicher Unmöglichkeit und Rechtsmängeln, haften die</w:t>
      </w:r>
    </w:p>
    <w:p w14:paraId="214CADA2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VU und die VRR AöR nur für den typischen und vorsehbaren Schaden.</w:t>
      </w:r>
    </w:p>
    <w:p w14:paraId="15ADDBB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8.4 Eine Haftung aus der Übernahme eines Beschaffungsrisikos trifft die VU nur, wenn sie das Beschaffungsrisiko ausdrücklich kraft schriftlicher Vereinbarung übernommen</w:t>
      </w:r>
    </w:p>
    <w:p w14:paraId="49D300B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haben.</w:t>
      </w:r>
    </w:p>
    <w:p w14:paraId="3ECED195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8.5 Eine weitergehende Haftung ist ausgeschlossen.</w:t>
      </w:r>
    </w:p>
    <w:p w14:paraId="1F4B12F4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8.6 Die Haftungsausschlüsse bzw. –</w:t>
      </w:r>
      <w:proofErr w:type="spellStart"/>
      <w:r>
        <w:rPr>
          <w:rFonts w:ascii="Arial" w:hAnsi="Arial" w:cs="Arial"/>
          <w:sz w:val="13"/>
          <w:szCs w:val="13"/>
        </w:rPr>
        <w:t>beschränkungen</w:t>
      </w:r>
      <w:proofErr w:type="spellEnd"/>
      <w:r>
        <w:rPr>
          <w:rFonts w:ascii="Arial" w:hAnsi="Arial" w:cs="Arial"/>
          <w:sz w:val="13"/>
          <w:szCs w:val="13"/>
        </w:rPr>
        <w:t xml:space="preserve"> gemäß Ziff. 8.2 bis 8.5 gelten im gleichen Umfang zugunsten der leitenden und nichtleitenden Angestellten und</w:t>
      </w:r>
    </w:p>
    <w:p w14:paraId="1E22DB9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sonstigen Erfüllungsgehilfen sowie der eingeschalteten Subunternehmer der VU und der VRR AöR.</w:t>
      </w:r>
    </w:p>
    <w:p w14:paraId="3A4F8F4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8.7 Ansprüche des VP auf Schadensersatz aus diesem Vertragsverhältnis können nur innerhalb einer Ausschlussfrist von einem Jahr ab dem gesetzlichen</w:t>
      </w:r>
    </w:p>
    <w:p w14:paraId="1938FCC0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Verjährungsbeginn geltend gemacht werden.</w:t>
      </w:r>
    </w:p>
    <w:p w14:paraId="3A4516AF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9. Dauer des Vertrages/Kündigung</w:t>
      </w:r>
    </w:p>
    <w:p w14:paraId="0784159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9.1 Die Dauer des Vertrages regelt sich nach dem jeweiligen Individualvertrag</w:t>
      </w:r>
    </w:p>
    <w:p w14:paraId="713DD9EF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9.2 Die ordentliche Kündigung dieses Vertrages wird ausgeschlossen.</w:t>
      </w:r>
    </w:p>
    <w:p w14:paraId="6CDEA4F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9.3 Das Recht zur außerordentlichen fristlosen Kündigung aus wichtigem Grund bleibt unberührt. Als wichtiger Kündigungsgrund für die VU gelten insbesondere:</w:t>
      </w:r>
    </w:p>
    <w:p w14:paraId="346BEE1A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a) Verletzung einer wesentlichen vertraglichen Pflicht durch die VP;</w:t>
      </w:r>
    </w:p>
    <w:p w14:paraId="2B9A28D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b) Eröffnung des Insolvenzverfahrens oder Ablehnung eines diesbezüglich beantragten Verfahrens mangels Masse über das Vermögen des VP;</w:t>
      </w:r>
    </w:p>
    <w:p w14:paraId="541DD8A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9.4 Die Kündigung bedarf der Schriftform.</w:t>
      </w:r>
    </w:p>
    <w:p w14:paraId="180D9E58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10. Änderungen und Ergänzungen</w:t>
      </w:r>
    </w:p>
    <w:p w14:paraId="5D804C5D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Änderungen und Ergänzungen dieser allgemeinen Geschäftsbedingungen bedürfen der Schriftform. Vorstehende Regelung gilt auch für die Abbedingung der Schriftform</w:t>
      </w:r>
    </w:p>
    <w:p w14:paraId="1DFE870B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durch die Vertragsparteien.</w:t>
      </w:r>
    </w:p>
    <w:p w14:paraId="488F831E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3"/>
          <w:szCs w:val="13"/>
        </w:rPr>
      </w:pPr>
      <w:r>
        <w:rPr>
          <w:rFonts w:ascii="Arial" w:hAnsi="Arial" w:cs="Arial"/>
          <w:b/>
          <w:bCs/>
          <w:sz w:val="13"/>
          <w:szCs w:val="13"/>
        </w:rPr>
        <w:t>11. Salvatorische Klausel</w:t>
      </w:r>
    </w:p>
    <w:p w14:paraId="44A5F2BC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Sollte eine Bestimmung des Vertrages ganz oder teilweise unwirksam/nichtig oder nicht durchführbar sein oder werden, so wird hiervon die Gültigkeit der übrigen</w:t>
      </w:r>
    </w:p>
    <w:p w14:paraId="2D5DF229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Bestimmungen dieses Vertrages nicht berührt. Anstelle der ungültigen Regelung werden die Parteien innerhalb eines angemessenen Zeitraumes eine Regelung</w:t>
      </w:r>
    </w:p>
    <w:p w14:paraId="081FDCE6" w14:textId="77777777" w:rsidR="00A50232" w:rsidRDefault="00A50232" w:rsidP="00A5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vereinbaren, die dem von den Parteien gewollten, am nächsten kommt.</w:t>
      </w:r>
    </w:p>
    <w:p w14:paraId="7C32F1A4" w14:textId="0683B9C3" w:rsidR="00343124" w:rsidRDefault="00343124" w:rsidP="00A50232"/>
    <w:sectPr w:rsidR="0034312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87773" w14:textId="77777777" w:rsidR="00A50232" w:rsidRDefault="00A50232" w:rsidP="00A50232">
      <w:pPr>
        <w:spacing w:after="0" w:line="240" w:lineRule="auto"/>
      </w:pPr>
      <w:r>
        <w:separator/>
      </w:r>
    </w:p>
  </w:endnote>
  <w:endnote w:type="continuationSeparator" w:id="0">
    <w:p w14:paraId="69969C9E" w14:textId="77777777" w:rsidR="00A50232" w:rsidRDefault="00A50232" w:rsidP="00A50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67BB5" w14:textId="77777777" w:rsidR="00A50232" w:rsidRDefault="00A50232" w:rsidP="00A50232">
      <w:pPr>
        <w:spacing w:after="0" w:line="240" w:lineRule="auto"/>
      </w:pPr>
      <w:r>
        <w:separator/>
      </w:r>
    </w:p>
  </w:footnote>
  <w:footnote w:type="continuationSeparator" w:id="0">
    <w:p w14:paraId="35C59B7C" w14:textId="77777777" w:rsidR="00A50232" w:rsidRDefault="00A50232" w:rsidP="00A50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51148" w14:textId="1AB7B7E1" w:rsidR="00A50232" w:rsidRPr="00A50232" w:rsidRDefault="00A50232" w:rsidP="00A50232">
    <w:pPr>
      <w:rPr>
        <w:rFonts w:ascii="Arial" w:hAnsi="Arial" w:cs="Arial"/>
        <w:sz w:val="20"/>
        <w:szCs w:val="20"/>
      </w:rPr>
    </w:pPr>
    <w:r w:rsidRPr="00A5023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58513EB" wp14:editId="1515E432">
          <wp:simplePos x="0" y="0"/>
          <wp:positionH relativeFrom="column">
            <wp:posOffset>8431530</wp:posOffset>
          </wp:positionH>
          <wp:positionV relativeFrom="paragraph">
            <wp:posOffset>-195580</wp:posOffset>
          </wp:positionV>
          <wp:extent cx="400050" cy="466725"/>
          <wp:effectExtent l="0" t="0" r="0" b="952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Anlage 07 AGB </w:t>
    </w:r>
    <w:proofErr w:type="spellStart"/>
    <w:r>
      <w:rPr>
        <w:rFonts w:ascii="Arial" w:hAnsi="Arial" w:cs="Arial"/>
        <w:sz w:val="20"/>
        <w:szCs w:val="20"/>
      </w:rPr>
      <w:t>KombiTicket</w:t>
    </w:r>
    <w:proofErr w:type="spellEnd"/>
    <w:r w:rsidRPr="00A50232">
      <w:rPr>
        <w:rFonts w:ascii="Arial" w:hAnsi="Arial" w:cs="Arial"/>
        <w:sz w:val="20"/>
        <w:szCs w:val="20"/>
      </w:rPr>
      <w:tab/>
    </w:r>
    <w:r w:rsidRPr="00A50232">
      <w:rPr>
        <w:rFonts w:ascii="Arial" w:hAnsi="Arial" w:cs="Arial"/>
        <w:sz w:val="20"/>
        <w:szCs w:val="20"/>
      </w:rPr>
      <w:tab/>
    </w:r>
    <w:r w:rsidRPr="00A50232">
      <w:rPr>
        <w:rFonts w:ascii="Arial" w:hAnsi="Arial" w:cs="Arial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232"/>
    <w:rsid w:val="00343124"/>
    <w:rsid w:val="00442D42"/>
    <w:rsid w:val="00A5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2BC3F"/>
  <w15:chartTrackingRefBased/>
  <w15:docId w15:val="{AAB6F9CF-7830-48D7-A917-B134CD34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5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0232"/>
  </w:style>
  <w:style w:type="paragraph" w:styleId="Fuzeile">
    <w:name w:val="footer"/>
    <w:basedOn w:val="Standard"/>
    <w:link w:val="FuzeileZchn"/>
    <w:uiPriority w:val="99"/>
    <w:unhideWhenUsed/>
    <w:rsid w:val="00A5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0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1393</Words>
  <Characters>8776</Characters>
  <Application>Microsoft Office Word</Application>
  <DocSecurity>0</DocSecurity>
  <Lines>73</Lines>
  <Paragraphs>20</Paragraphs>
  <ScaleCrop>false</ScaleCrop>
  <Company/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Muntjan, Margarita</dc:creator>
  <cp:keywords/>
  <dc:description/>
  <cp:lastModifiedBy>Muntjan, Margarita</cp:lastModifiedBy>
  <cp:revision>2</cp:revision>
  <dcterms:created xsi:type="dcterms:W3CDTF">2021-01-05T07:18:00Z</dcterms:created>
  <dcterms:modified xsi:type="dcterms:W3CDTF">2021-01-05T07:30:00Z</dcterms:modified>
</cp:coreProperties>
</file>